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3836E10A" w:rsidR="00BD15EB" w:rsidRPr="00BD15EB" w:rsidRDefault="00313835" w:rsidP="005B1BF7">
      <w:pPr>
        <w:spacing w:after="160"/>
        <w:jc w:val="center"/>
        <w:rPr>
          <w:b/>
          <w:sz w:val="24"/>
          <w:szCs w:val="24"/>
        </w:rPr>
      </w:pPr>
      <w:r>
        <w:rPr>
          <w:b/>
          <w:sz w:val="24"/>
          <w:szCs w:val="24"/>
        </w:rPr>
        <w:t xml:space="preserve">Public Health Law Research and </w:t>
      </w:r>
      <w:r w:rsidR="00222898">
        <w:rPr>
          <w:b/>
          <w:sz w:val="24"/>
          <w:szCs w:val="24"/>
        </w:rPr>
        <w:t>Policy Surveillance</w:t>
      </w:r>
    </w:p>
    <w:p w14:paraId="07468DA4" w14:textId="1C417D75" w:rsidR="008F1A72" w:rsidRPr="00222898" w:rsidRDefault="00222898" w:rsidP="005B1BF7">
      <w:pPr>
        <w:ind w:right="78"/>
        <w:jc w:val="both"/>
        <w:rPr>
          <w:b/>
          <w:sz w:val="18"/>
          <w:szCs w:val="18"/>
        </w:rPr>
      </w:pPr>
      <w:r w:rsidRPr="00222898">
        <w:rPr>
          <w:rFonts w:eastAsiaTheme="minorEastAsia" w:cs="Calibri"/>
          <w:sz w:val="18"/>
          <w:szCs w:val="18"/>
        </w:rPr>
        <w:t xml:space="preserve">This certificate program is designed to train governmental, health care, and public health professionals to engage in public health policy research, analysis and practice as policy researchers and legal epidemiologists, with skills that bridge public health </w:t>
      </w:r>
      <w:r w:rsidR="00826FCC">
        <w:rPr>
          <w:rFonts w:eastAsiaTheme="minorEastAsia" w:cs="Calibri"/>
          <w:sz w:val="18"/>
          <w:szCs w:val="18"/>
        </w:rPr>
        <w:t xml:space="preserve">and </w:t>
      </w:r>
      <w:r w:rsidRPr="00222898">
        <w:rPr>
          <w:rFonts w:eastAsiaTheme="minorEastAsia" w:cs="Calibri"/>
          <w:sz w:val="18"/>
          <w:szCs w:val="18"/>
        </w:rPr>
        <w:t>law.</w:t>
      </w:r>
    </w:p>
    <w:p w14:paraId="2DA39B67" w14:textId="77777777" w:rsidR="005B1BF7" w:rsidRPr="008F1A72" w:rsidRDefault="005B1BF7"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540"/>
        <w:gridCol w:w="810"/>
        <w:gridCol w:w="540"/>
        <w:gridCol w:w="3240"/>
      </w:tblGrid>
      <w:tr w:rsidR="00DB3D70" w:rsidRPr="00BD15EB" w14:paraId="6338F158" w14:textId="77777777" w:rsidTr="008558B1">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24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559F2BD9" w:rsidR="00517252" w:rsidRPr="0043223C" w:rsidRDefault="000F64C4" w:rsidP="000F64C4">
            <w:pPr>
              <w:ind w:hanging="105"/>
              <w:rPr>
                <w:b/>
                <w:sz w:val="24"/>
                <w:szCs w:val="24"/>
              </w:rPr>
            </w:pPr>
            <w:r w:rsidRPr="0043223C">
              <w:rPr>
                <w:b/>
                <w:sz w:val="24"/>
                <w:szCs w:val="24"/>
              </w:rPr>
              <w:t xml:space="preserve">Degree-Seeking </w:t>
            </w:r>
            <w:r w:rsidR="0043223C">
              <w:rPr>
                <w:b/>
                <w:sz w:val="24"/>
                <w:szCs w:val="24"/>
              </w:rPr>
              <w:t xml:space="preserve">&amp; Non-Degree-Seeking </w:t>
            </w:r>
            <w:r w:rsidRPr="0043223C">
              <w:rPr>
                <w:b/>
                <w:sz w:val="24"/>
                <w:szCs w:val="24"/>
              </w:rPr>
              <w:t>Students Certificate Requirements</w:t>
            </w:r>
          </w:p>
        </w:tc>
      </w:tr>
      <w:tr w:rsidR="00BD15EB" w:rsidRPr="00BD15EB" w14:paraId="6C8080ED" w14:textId="77777777" w:rsidTr="008558B1">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68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EC05E2">
        <w:tc>
          <w:tcPr>
            <w:tcW w:w="10980" w:type="dxa"/>
            <w:gridSpan w:val="8"/>
            <w:tcBorders>
              <w:bottom w:val="single" w:sz="4" w:space="0" w:color="auto"/>
            </w:tcBorders>
            <w:shd w:val="clear" w:color="auto" w:fill="8496B0" w:themeFill="text2" w:themeFillTint="99"/>
          </w:tcPr>
          <w:p w14:paraId="18DEE761" w14:textId="724FCDB1" w:rsidR="009F05BE" w:rsidRPr="00BD15EB" w:rsidRDefault="00794EC3" w:rsidP="00621EA2">
            <w:pPr>
              <w:jc w:val="center"/>
              <w:rPr>
                <w:b/>
                <w:sz w:val="18"/>
                <w:szCs w:val="18"/>
              </w:rPr>
            </w:pPr>
            <w:r>
              <w:rPr>
                <w:b/>
                <w:sz w:val="18"/>
                <w:szCs w:val="18"/>
              </w:rPr>
              <w:t>Required Courses</w:t>
            </w:r>
          </w:p>
        </w:tc>
      </w:tr>
      <w:tr w:rsidR="00EC05E2" w:rsidRPr="00BD15EB" w14:paraId="56ACAAF5" w14:textId="77777777" w:rsidTr="00EC05E2">
        <w:tc>
          <w:tcPr>
            <w:tcW w:w="7740" w:type="dxa"/>
            <w:gridSpan w:val="7"/>
            <w:tcBorders>
              <w:bottom w:val="single" w:sz="4" w:space="0" w:color="auto"/>
              <w:right w:val="nil"/>
            </w:tcBorders>
            <w:shd w:val="clear" w:color="auto" w:fill="D5DCE4" w:themeFill="text2" w:themeFillTint="33"/>
          </w:tcPr>
          <w:p w14:paraId="462A5C5C" w14:textId="23831295" w:rsidR="00EC05E2" w:rsidRPr="00EC05E2" w:rsidRDefault="00EC05E2" w:rsidP="000B13B0">
            <w:pPr>
              <w:jc w:val="center"/>
              <w:rPr>
                <w:i/>
                <w:sz w:val="18"/>
                <w:szCs w:val="18"/>
              </w:rPr>
            </w:pPr>
            <w:r w:rsidRPr="00EC05E2">
              <w:rPr>
                <w:i/>
                <w:sz w:val="18"/>
                <w:szCs w:val="18"/>
              </w:rPr>
              <w:t>1</w:t>
            </w:r>
            <w:r w:rsidR="000B13B0">
              <w:rPr>
                <w:i/>
                <w:sz w:val="18"/>
                <w:szCs w:val="18"/>
              </w:rPr>
              <w:t>5</w:t>
            </w:r>
            <w:r w:rsidRPr="00EC05E2">
              <w:rPr>
                <w:i/>
                <w:sz w:val="18"/>
                <w:szCs w:val="18"/>
              </w:rPr>
              <w:t xml:space="preserve"> credit hours</w:t>
            </w:r>
          </w:p>
        </w:tc>
        <w:tc>
          <w:tcPr>
            <w:tcW w:w="3240" w:type="dxa"/>
            <w:tcBorders>
              <w:left w:val="nil"/>
              <w:bottom w:val="single" w:sz="4" w:space="0" w:color="auto"/>
            </w:tcBorders>
            <w:shd w:val="clear" w:color="auto" w:fill="D5DCE4" w:themeFill="text2" w:themeFillTint="33"/>
          </w:tcPr>
          <w:p w14:paraId="1C1E6F9D" w14:textId="144214F3" w:rsidR="00EC05E2" w:rsidRDefault="00EC05E2" w:rsidP="00621EA2">
            <w:pPr>
              <w:jc w:val="center"/>
              <w:rPr>
                <w:b/>
                <w:sz w:val="18"/>
                <w:szCs w:val="18"/>
              </w:rPr>
            </w:pPr>
          </w:p>
        </w:tc>
      </w:tr>
      <w:tr w:rsidR="00090B41" w:rsidRPr="00BD15EB" w14:paraId="018F5B8A" w14:textId="77777777" w:rsidTr="008558B1">
        <w:tc>
          <w:tcPr>
            <w:tcW w:w="1170" w:type="dxa"/>
            <w:gridSpan w:val="2"/>
            <w:tcMar>
              <w:left w:w="0" w:type="dxa"/>
              <w:right w:w="0" w:type="dxa"/>
            </w:tcMar>
            <w:vAlign w:val="center"/>
          </w:tcPr>
          <w:p w14:paraId="3E207C1B" w14:textId="58458670" w:rsidR="00090B41" w:rsidRPr="00BD15EB" w:rsidRDefault="00222898" w:rsidP="00090B41">
            <w:pPr>
              <w:rPr>
                <w:sz w:val="18"/>
                <w:szCs w:val="18"/>
              </w:rPr>
            </w:pPr>
            <w:r>
              <w:rPr>
                <w:sz w:val="18"/>
                <w:szCs w:val="18"/>
              </w:rPr>
              <w:t>PH</w:t>
            </w:r>
            <w:r w:rsidR="00EC05E2">
              <w:rPr>
                <w:sz w:val="18"/>
                <w:szCs w:val="18"/>
              </w:rPr>
              <w:t>W</w:t>
            </w:r>
            <w:r>
              <w:rPr>
                <w:sz w:val="18"/>
                <w:szCs w:val="18"/>
              </w:rPr>
              <w:t xml:space="preserve"> 3738L</w:t>
            </w:r>
          </w:p>
        </w:tc>
        <w:tc>
          <w:tcPr>
            <w:tcW w:w="540" w:type="dxa"/>
            <w:tcMar>
              <w:left w:w="0" w:type="dxa"/>
              <w:right w:w="0" w:type="dxa"/>
            </w:tcMar>
            <w:vAlign w:val="center"/>
          </w:tcPr>
          <w:p w14:paraId="7F45E92D" w14:textId="5D996D45" w:rsidR="00090B41" w:rsidRPr="00BD15EB" w:rsidRDefault="00222898" w:rsidP="00090B41">
            <w:pPr>
              <w:jc w:val="center"/>
              <w:rPr>
                <w:sz w:val="18"/>
                <w:szCs w:val="18"/>
              </w:rPr>
            </w:pPr>
            <w:r>
              <w:rPr>
                <w:sz w:val="18"/>
                <w:szCs w:val="18"/>
              </w:rPr>
              <w:t>3</w:t>
            </w:r>
          </w:p>
        </w:tc>
        <w:tc>
          <w:tcPr>
            <w:tcW w:w="4680" w:type="dxa"/>
            <w:gridSpan w:val="2"/>
            <w:tcMar>
              <w:left w:w="0" w:type="dxa"/>
              <w:right w:w="0" w:type="dxa"/>
            </w:tcMar>
            <w:vAlign w:val="center"/>
          </w:tcPr>
          <w:p w14:paraId="380F6D97" w14:textId="43023DF4" w:rsidR="00090B41" w:rsidRPr="00BD15EB" w:rsidRDefault="00222898" w:rsidP="00090B41">
            <w:pPr>
              <w:rPr>
                <w:sz w:val="18"/>
                <w:szCs w:val="18"/>
              </w:rPr>
            </w:pPr>
            <w:r>
              <w:rPr>
                <w:sz w:val="18"/>
                <w:szCs w:val="18"/>
              </w:rPr>
              <w:t>Legal Issues in Healthcare</w:t>
            </w:r>
          </w:p>
        </w:tc>
        <w:tc>
          <w:tcPr>
            <w:tcW w:w="810" w:type="dxa"/>
            <w:tcMar>
              <w:left w:w="0" w:type="dxa"/>
              <w:right w:w="0" w:type="dxa"/>
            </w:tcMar>
            <w:vAlign w:val="center"/>
          </w:tcPr>
          <w:p w14:paraId="42EC18A4" w14:textId="77777777" w:rsidR="00090B41" w:rsidRPr="00BD15EB" w:rsidRDefault="00090B41" w:rsidP="00090B41">
            <w:pPr>
              <w:jc w:val="center"/>
              <w:rPr>
                <w:sz w:val="18"/>
                <w:szCs w:val="18"/>
              </w:rPr>
            </w:pPr>
          </w:p>
        </w:tc>
        <w:tc>
          <w:tcPr>
            <w:tcW w:w="540" w:type="dxa"/>
            <w:tcMar>
              <w:left w:w="0" w:type="dxa"/>
              <w:right w:w="0" w:type="dxa"/>
            </w:tcMar>
          </w:tcPr>
          <w:p w14:paraId="767A1CCC" w14:textId="77777777" w:rsidR="00090B41" w:rsidRPr="00BD15EB" w:rsidRDefault="00090B41" w:rsidP="00090B41">
            <w:pPr>
              <w:jc w:val="center"/>
              <w:rPr>
                <w:sz w:val="18"/>
                <w:szCs w:val="18"/>
              </w:rPr>
            </w:pPr>
          </w:p>
        </w:tc>
        <w:tc>
          <w:tcPr>
            <w:tcW w:w="3240" w:type="dxa"/>
            <w:tcMar>
              <w:left w:w="0" w:type="dxa"/>
              <w:right w:w="0" w:type="dxa"/>
            </w:tcMar>
            <w:vAlign w:val="center"/>
          </w:tcPr>
          <w:p w14:paraId="45AFBA6A" w14:textId="77777777" w:rsidR="00090B41" w:rsidRPr="00BD15EB" w:rsidRDefault="00090B41" w:rsidP="00090B41">
            <w:pPr>
              <w:jc w:val="center"/>
              <w:rPr>
                <w:sz w:val="18"/>
                <w:szCs w:val="18"/>
              </w:rPr>
            </w:pPr>
          </w:p>
        </w:tc>
      </w:tr>
      <w:tr w:rsidR="009D7C55" w:rsidRPr="00BD15EB" w14:paraId="25CE567F" w14:textId="77777777" w:rsidTr="008558B1">
        <w:tc>
          <w:tcPr>
            <w:tcW w:w="1170" w:type="dxa"/>
            <w:gridSpan w:val="2"/>
            <w:tcMar>
              <w:left w:w="0" w:type="dxa"/>
              <w:right w:w="0" w:type="dxa"/>
            </w:tcMar>
            <w:vAlign w:val="center"/>
          </w:tcPr>
          <w:p w14:paraId="5C9C3FFE" w14:textId="3A3AEC2D" w:rsidR="009D7C55" w:rsidRDefault="009D7C55" w:rsidP="009D7C55">
            <w:pPr>
              <w:rPr>
                <w:sz w:val="18"/>
                <w:szCs w:val="18"/>
              </w:rPr>
            </w:pPr>
            <w:r>
              <w:rPr>
                <w:sz w:val="18"/>
                <w:szCs w:val="18"/>
              </w:rPr>
              <w:t>PHW 3732L</w:t>
            </w:r>
          </w:p>
        </w:tc>
        <w:tc>
          <w:tcPr>
            <w:tcW w:w="540" w:type="dxa"/>
            <w:tcMar>
              <w:left w:w="0" w:type="dxa"/>
              <w:right w:w="0" w:type="dxa"/>
            </w:tcMar>
            <w:vAlign w:val="center"/>
          </w:tcPr>
          <w:p w14:paraId="714FCBE9" w14:textId="01835012" w:rsidR="009D7C55" w:rsidRDefault="009D7C55" w:rsidP="009D7C55">
            <w:pPr>
              <w:jc w:val="center"/>
              <w:rPr>
                <w:sz w:val="18"/>
                <w:szCs w:val="18"/>
              </w:rPr>
            </w:pPr>
            <w:r>
              <w:rPr>
                <w:sz w:val="18"/>
                <w:szCs w:val="18"/>
              </w:rPr>
              <w:t>3</w:t>
            </w:r>
          </w:p>
        </w:tc>
        <w:tc>
          <w:tcPr>
            <w:tcW w:w="4680" w:type="dxa"/>
            <w:gridSpan w:val="2"/>
            <w:tcMar>
              <w:left w:w="0" w:type="dxa"/>
              <w:right w:w="0" w:type="dxa"/>
            </w:tcMar>
            <w:vAlign w:val="center"/>
          </w:tcPr>
          <w:p w14:paraId="1D4EA547" w14:textId="3F7F9219" w:rsidR="009D7C55" w:rsidRDefault="009D7C55" w:rsidP="009D7C55">
            <w:pPr>
              <w:rPr>
                <w:sz w:val="18"/>
                <w:szCs w:val="18"/>
              </w:rPr>
            </w:pPr>
            <w:r>
              <w:rPr>
                <w:sz w:val="18"/>
                <w:szCs w:val="18"/>
              </w:rPr>
              <w:t>Research Methods in Public Health Law</w:t>
            </w:r>
          </w:p>
        </w:tc>
        <w:tc>
          <w:tcPr>
            <w:tcW w:w="810" w:type="dxa"/>
            <w:tcMar>
              <w:left w:w="0" w:type="dxa"/>
              <w:right w:w="0" w:type="dxa"/>
            </w:tcMar>
            <w:vAlign w:val="center"/>
          </w:tcPr>
          <w:p w14:paraId="6D27638A" w14:textId="77777777" w:rsidR="009D7C55" w:rsidRPr="00BD15EB" w:rsidRDefault="009D7C55" w:rsidP="009D7C55">
            <w:pPr>
              <w:jc w:val="center"/>
              <w:rPr>
                <w:sz w:val="18"/>
                <w:szCs w:val="18"/>
              </w:rPr>
            </w:pPr>
          </w:p>
        </w:tc>
        <w:tc>
          <w:tcPr>
            <w:tcW w:w="540" w:type="dxa"/>
            <w:tcMar>
              <w:left w:w="0" w:type="dxa"/>
              <w:right w:w="0" w:type="dxa"/>
            </w:tcMar>
          </w:tcPr>
          <w:p w14:paraId="1B22A1AB" w14:textId="77777777" w:rsidR="009D7C55" w:rsidRPr="00BD15EB" w:rsidRDefault="009D7C55" w:rsidP="009D7C55">
            <w:pPr>
              <w:jc w:val="center"/>
              <w:rPr>
                <w:sz w:val="18"/>
                <w:szCs w:val="18"/>
              </w:rPr>
            </w:pPr>
          </w:p>
        </w:tc>
        <w:tc>
          <w:tcPr>
            <w:tcW w:w="3240" w:type="dxa"/>
            <w:tcMar>
              <w:left w:w="0" w:type="dxa"/>
              <w:right w:w="0" w:type="dxa"/>
            </w:tcMar>
            <w:vAlign w:val="center"/>
          </w:tcPr>
          <w:p w14:paraId="1AA0CC67" w14:textId="77777777" w:rsidR="009D7C55" w:rsidRPr="00BD15EB" w:rsidRDefault="009D7C55" w:rsidP="009D7C55">
            <w:pPr>
              <w:jc w:val="center"/>
              <w:rPr>
                <w:sz w:val="18"/>
                <w:szCs w:val="18"/>
              </w:rPr>
            </w:pPr>
          </w:p>
        </w:tc>
      </w:tr>
      <w:tr w:rsidR="009D7C55" w:rsidRPr="00BD15EB" w14:paraId="5E2AFD4A" w14:textId="77777777" w:rsidTr="008558B1">
        <w:tc>
          <w:tcPr>
            <w:tcW w:w="1170" w:type="dxa"/>
            <w:gridSpan w:val="2"/>
            <w:tcMar>
              <w:left w:w="0" w:type="dxa"/>
              <w:right w:w="0" w:type="dxa"/>
            </w:tcMar>
            <w:vAlign w:val="center"/>
          </w:tcPr>
          <w:p w14:paraId="79BC03B4" w14:textId="4E9AE4B4" w:rsidR="009D7C55" w:rsidRDefault="009D7C55" w:rsidP="009D7C55">
            <w:pPr>
              <w:rPr>
                <w:sz w:val="18"/>
                <w:szCs w:val="18"/>
              </w:rPr>
            </w:pPr>
            <w:r>
              <w:rPr>
                <w:sz w:val="18"/>
                <w:szCs w:val="18"/>
              </w:rPr>
              <w:t>PHW 3733L</w:t>
            </w:r>
          </w:p>
        </w:tc>
        <w:tc>
          <w:tcPr>
            <w:tcW w:w="540" w:type="dxa"/>
            <w:tcMar>
              <w:left w:w="0" w:type="dxa"/>
              <w:right w:w="0" w:type="dxa"/>
            </w:tcMar>
            <w:vAlign w:val="center"/>
          </w:tcPr>
          <w:p w14:paraId="3CE7153D" w14:textId="2744B1CC" w:rsidR="009D7C55" w:rsidRDefault="009D7C55" w:rsidP="009D7C55">
            <w:pPr>
              <w:jc w:val="center"/>
              <w:rPr>
                <w:sz w:val="18"/>
                <w:szCs w:val="18"/>
              </w:rPr>
            </w:pPr>
            <w:r>
              <w:rPr>
                <w:sz w:val="18"/>
                <w:szCs w:val="18"/>
              </w:rPr>
              <w:t>3</w:t>
            </w:r>
          </w:p>
        </w:tc>
        <w:tc>
          <w:tcPr>
            <w:tcW w:w="4680" w:type="dxa"/>
            <w:gridSpan w:val="2"/>
            <w:tcMar>
              <w:left w:w="0" w:type="dxa"/>
              <w:right w:w="0" w:type="dxa"/>
            </w:tcMar>
            <w:vAlign w:val="center"/>
          </w:tcPr>
          <w:p w14:paraId="0826A0F3" w14:textId="50392048" w:rsidR="009D7C55" w:rsidRPr="004E1EEE" w:rsidRDefault="00012342" w:rsidP="009D7C55">
            <w:pPr>
              <w:rPr>
                <w:sz w:val="18"/>
                <w:szCs w:val="18"/>
              </w:rPr>
            </w:pPr>
            <w:r>
              <w:rPr>
                <w:sz w:val="18"/>
                <w:szCs w:val="18"/>
              </w:rPr>
              <w:t>Law and Policy</w:t>
            </w:r>
          </w:p>
        </w:tc>
        <w:tc>
          <w:tcPr>
            <w:tcW w:w="810" w:type="dxa"/>
            <w:tcMar>
              <w:left w:w="0" w:type="dxa"/>
              <w:right w:w="0" w:type="dxa"/>
            </w:tcMar>
            <w:vAlign w:val="center"/>
          </w:tcPr>
          <w:p w14:paraId="4CF9514F" w14:textId="77777777" w:rsidR="009D7C55" w:rsidRPr="00BD15EB" w:rsidRDefault="009D7C55" w:rsidP="009D7C55">
            <w:pPr>
              <w:jc w:val="center"/>
              <w:rPr>
                <w:sz w:val="18"/>
                <w:szCs w:val="18"/>
              </w:rPr>
            </w:pPr>
          </w:p>
        </w:tc>
        <w:tc>
          <w:tcPr>
            <w:tcW w:w="540" w:type="dxa"/>
            <w:tcMar>
              <w:left w:w="0" w:type="dxa"/>
              <w:right w:w="0" w:type="dxa"/>
            </w:tcMar>
          </w:tcPr>
          <w:p w14:paraId="13B12509" w14:textId="77777777" w:rsidR="009D7C55" w:rsidRPr="00BD15EB" w:rsidRDefault="009D7C55" w:rsidP="009D7C55">
            <w:pPr>
              <w:jc w:val="center"/>
              <w:rPr>
                <w:sz w:val="18"/>
                <w:szCs w:val="18"/>
              </w:rPr>
            </w:pPr>
          </w:p>
        </w:tc>
        <w:tc>
          <w:tcPr>
            <w:tcW w:w="3240" w:type="dxa"/>
            <w:tcMar>
              <w:left w:w="0" w:type="dxa"/>
              <w:right w:w="0" w:type="dxa"/>
            </w:tcMar>
            <w:vAlign w:val="center"/>
          </w:tcPr>
          <w:p w14:paraId="0DE67BE0" w14:textId="77777777" w:rsidR="009D7C55" w:rsidRPr="00BD15EB" w:rsidRDefault="009D7C55" w:rsidP="009D7C55">
            <w:pPr>
              <w:jc w:val="center"/>
              <w:rPr>
                <w:sz w:val="18"/>
                <w:szCs w:val="18"/>
              </w:rPr>
            </w:pPr>
          </w:p>
        </w:tc>
      </w:tr>
      <w:tr w:rsidR="009D7C55" w:rsidRPr="00BD15EB" w14:paraId="7EF58036" w14:textId="77777777" w:rsidTr="008558B1">
        <w:tc>
          <w:tcPr>
            <w:tcW w:w="1170" w:type="dxa"/>
            <w:gridSpan w:val="2"/>
            <w:tcMar>
              <w:left w:w="0" w:type="dxa"/>
              <w:right w:w="0" w:type="dxa"/>
            </w:tcMar>
            <w:vAlign w:val="center"/>
          </w:tcPr>
          <w:p w14:paraId="2F9D497F" w14:textId="269D4086" w:rsidR="009D7C55" w:rsidRDefault="009D7C55" w:rsidP="009D7C55">
            <w:pPr>
              <w:rPr>
                <w:sz w:val="18"/>
                <w:szCs w:val="18"/>
              </w:rPr>
            </w:pPr>
            <w:r>
              <w:rPr>
                <w:sz w:val="18"/>
                <w:szCs w:val="18"/>
              </w:rPr>
              <w:t>PHW 3734L</w:t>
            </w:r>
          </w:p>
        </w:tc>
        <w:tc>
          <w:tcPr>
            <w:tcW w:w="540" w:type="dxa"/>
            <w:tcMar>
              <w:left w:w="0" w:type="dxa"/>
              <w:right w:w="0" w:type="dxa"/>
            </w:tcMar>
            <w:vAlign w:val="center"/>
          </w:tcPr>
          <w:p w14:paraId="401953F2" w14:textId="792BC700" w:rsidR="009D7C55" w:rsidRDefault="009D7C55" w:rsidP="009D7C55">
            <w:pPr>
              <w:jc w:val="center"/>
              <w:rPr>
                <w:sz w:val="18"/>
                <w:szCs w:val="18"/>
              </w:rPr>
            </w:pPr>
            <w:r>
              <w:rPr>
                <w:sz w:val="18"/>
                <w:szCs w:val="18"/>
              </w:rPr>
              <w:t>3</w:t>
            </w:r>
          </w:p>
        </w:tc>
        <w:tc>
          <w:tcPr>
            <w:tcW w:w="4680" w:type="dxa"/>
            <w:gridSpan w:val="2"/>
            <w:tcMar>
              <w:left w:w="0" w:type="dxa"/>
              <w:right w:w="0" w:type="dxa"/>
            </w:tcMar>
            <w:vAlign w:val="center"/>
          </w:tcPr>
          <w:p w14:paraId="26B63758" w14:textId="38DD543D" w:rsidR="009D7C55" w:rsidRDefault="009D7C55" w:rsidP="009D7C55">
            <w:pPr>
              <w:rPr>
                <w:sz w:val="18"/>
                <w:szCs w:val="18"/>
              </w:rPr>
            </w:pPr>
            <w:r>
              <w:rPr>
                <w:sz w:val="18"/>
                <w:szCs w:val="18"/>
              </w:rPr>
              <w:t>Public Health Policy Surveillance and Legal Epidemiology</w:t>
            </w:r>
          </w:p>
        </w:tc>
        <w:tc>
          <w:tcPr>
            <w:tcW w:w="810" w:type="dxa"/>
            <w:tcMar>
              <w:left w:w="0" w:type="dxa"/>
              <w:right w:w="0" w:type="dxa"/>
            </w:tcMar>
            <w:vAlign w:val="center"/>
          </w:tcPr>
          <w:p w14:paraId="3775E8EF" w14:textId="77777777" w:rsidR="009D7C55" w:rsidRPr="00BD15EB" w:rsidRDefault="009D7C55" w:rsidP="009D7C55">
            <w:pPr>
              <w:jc w:val="center"/>
              <w:rPr>
                <w:sz w:val="18"/>
                <w:szCs w:val="18"/>
              </w:rPr>
            </w:pPr>
          </w:p>
        </w:tc>
        <w:tc>
          <w:tcPr>
            <w:tcW w:w="540" w:type="dxa"/>
            <w:tcMar>
              <w:left w:w="0" w:type="dxa"/>
              <w:right w:w="0" w:type="dxa"/>
            </w:tcMar>
          </w:tcPr>
          <w:p w14:paraId="4175FAFB" w14:textId="77777777" w:rsidR="009D7C55" w:rsidRPr="00BD15EB" w:rsidRDefault="009D7C55" w:rsidP="009D7C55">
            <w:pPr>
              <w:jc w:val="center"/>
              <w:rPr>
                <w:sz w:val="18"/>
                <w:szCs w:val="18"/>
              </w:rPr>
            </w:pPr>
          </w:p>
        </w:tc>
        <w:tc>
          <w:tcPr>
            <w:tcW w:w="3240" w:type="dxa"/>
            <w:tcMar>
              <w:left w:w="0" w:type="dxa"/>
              <w:right w:w="0" w:type="dxa"/>
            </w:tcMar>
            <w:vAlign w:val="center"/>
          </w:tcPr>
          <w:p w14:paraId="662A4713" w14:textId="77777777" w:rsidR="009D7C55" w:rsidRPr="00BD15EB" w:rsidRDefault="009D7C55" w:rsidP="009D7C55">
            <w:pPr>
              <w:jc w:val="center"/>
              <w:rPr>
                <w:sz w:val="18"/>
                <w:szCs w:val="18"/>
              </w:rPr>
            </w:pPr>
          </w:p>
        </w:tc>
      </w:tr>
      <w:tr w:rsidR="009D7C55" w:rsidRPr="00BD15EB" w14:paraId="43694DAF" w14:textId="77777777" w:rsidTr="008558B1">
        <w:tc>
          <w:tcPr>
            <w:tcW w:w="1170" w:type="dxa"/>
            <w:gridSpan w:val="2"/>
            <w:tcMar>
              <w:left w:w="0" w:type="dxa"/>
              <w:right w:w="0" w:type="dxa"/>
            </w:tcMar>
            <w:vAlign w:val="center"/>
          </w:tcPr>
          <w:p w14:paraId="604E879C" w14:textId="48C7FDDB" w:rsidR="009D7C55" w:rsidRDefault="009D7C55" w:rsidP="009D7C55">
            <w:pPr>
              <w:rPr>
                <w:sz w:val="18"/>
                <w:szCs w:val="18"/>
              </w:rPr>
            </w:pPr>
            <w:r>
              <w:rPr>
                <w:sz w:val="18"/>
                <w:szCs w:val="18"/>
              </w:rPr>
              <w:t>PH 3999</w:t>
            </w:r>
          </w:p>
        </w:tc>
        <w:tc>
          <w:tcPr>
            <w:tcW w:w="540" w:type="dxa"/>
            <w:tcMar>
              <w:left w:w="0" w:type="dxa"/>
              <w:right w:w="0" w:type="dxa"/>
            </w:tcMar>
            <w:vAlign w:val="center"/>
          </w:tcPr>
          <w:p w14:paraId="3FB5686E" w14:textId="03BF2491" w:rsidR="009D7C55" w:rsidRDefault="009D7C55" w:rsidP="009D7C55">
            <w:pPr>
              <w:jc w:val="center"/>
              <w:rPr>
                <w:sz w:val="18"/>
                <w:szCs w:val="18"/>
              </w:rPr>
            </w:pPr>
            <w:r>
              <w:rPr>
                <w:sz w:val="18"/>
                <w:szCs w:val="18"/>
              </w:rPr>
              <w:t>3</w:t>
            </w:r>
          </w:p>
        </w:tc>
        <w:tc>
          <w:tcPr>
            <w:tcW w:w="4680" w:type="dxa"/>
            <w:gridSpan w:val="2"/>
            <w:tcMar>
              <w:left w:w="0" w:type="dxa"/>
              <w:right w:w="0" w:type="dxa"/>
            </w:tcMar>
            <w:vAlign w:val="center"/>
          </w:tcPr>
          <w:p w14:paraId="2D7407FF" w14:textId="0A92EF88" w:rsidR="009D7C55" w:rsidRDefault="009D7C55" w:rsidP="009D7C55">
            <w:pPr>
              <w:rPr>
                <w:sz w:val="18"/>
                <w:szCs w:val="18"/>
              </w:rPr>
            </w:pPr>
            <w:r>
              <w:rPr>
                <w:sz w:val="18"/>
                <w:szCs w:val="18"/>
              </w:rPr>
              <w:t xml:space="preserve">Independent Study: </w:t>
            </w:r>
            <w:r w:rsidRPr="00EC05E2">
              <w:rPr>
                <w:i/>
                <w:sz w:val="18"/>
                <w:szCs w:val="18"/>
              </w:rPr>
              <w:t>(see planning note 1)</w:t>
            </w:r>
          </w:p>
        </w:tc>
        <w:tc>
          <w:tcPr>
            <w:tcW w:w="810" w:type="dxa"/>
            <w:tcMar>
              <w:left w:w="0" w:type="dxa"/>
              <w:right w:w="0" w:type="dxa"/>
            </w:tcMar>
            <w:vAlign w:val="center"/>
          </w:tcPr>
          <w:p w14:paraId="576398C7" w14:textId="77777777" w:rsidR="009D7C55" w:rsidRPr="00BD15EB" w:rsidRDefault="009D7C55" w:rsidP="009D7C55">
            <w:pPr>
              <w:jc w:val="center"/>
              <w:rPr>
                <w:sz w:val="18"/>
                <w:szCs w:val="18"/>
              </w:rPr>
            </w:pPr>
          </w:p>
        </w:tc>
        <w:tc>
          <w:tcPr>
            <w:tcW w:w="540" w:type="dxa"/>
            <w:tcMar>
              <w:left w:w="0" w:type="dxa"/>
              <w:right w:w="0" w:type="dxa"/>
            </w:tcMar>
          </w:tcPr>
          <w:p w14:paraId="22E8EDA6" w14:textId="77777777" w:rsidR="009D7C55" w:rsidRPr="00BD15EB" w:rsidRDefault="009D7C55" w:rsidP="009D7C55">
            <w:pPr>
              <w:jc w:val="center"/>
              <w:rPr>
                <w:sz w:val="18"/>
                <w:szCs w:val="18"/>
              </w:rPr>
            </w:pPr>
          </w:p>
        </w:tc>
        <w:tc>
          <w:tcPr>
            <w:tcW w:w="3240" w:type="dxa"/>
            <w:tcMar>
              <w:left w:w="0" w:type="dxa"/>
              <w:right w:w="0" w:type="dxa"/>
            </w:tcMar>
            <w:vAlign w:val="center"/>
          </w:tcPr>
          <w:p w14:paraId="5CF1CD99" w14:textId="77777777" w:rsidR="009D7C55" w:rsidRPr="00BD15EB" w:rsidRDefault="009D7C55" w:rsidP="009D7C55">
            <w:pPr>
              <w:jc w:val="center"/>
              <w:rPr>
                <w:sz w:val="18"/>
                <w:szCs w:val="18"/>
              </w:rPr>
            </w:pPr>
          </w:p>
        </w:tc>
      </w:tr>
      <w:tr w:rsidR="009D7C55"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387B7C2F" w:rsidR="009D7C55" w:rsidRPr="00BD15EB" w:rsidRDefault="009D7C55" w:rsidP="009D7C55">
            <w:pPr>
              <w:rPr>
                <w:b/>
                <w:sz w:val="18"/>
                <w:szCs w:val="18"/>
              </w:rPr>
            </w:pPr>
            <w:r w:rsidRPr="00BD15EB">
              <w:rPr>
                <w:b/>
                <w:sz w:val="18"/>
                <w:szCs w:val="18"/>
              </w:rPr>
              <w:t>Total Credits</w:t>
            </w:r>
            <w:r>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5B3C0BA1" w:rsidR="009D7C55" w:rsidRPr="00BD15EB" w:rsidRDefault="009D7C55" w:rsidP="009D7C55">
            <w:pPr>
              <w:jc w:val="center"/>
              <w:rPr>
                <w:b/>
                <w:sz w:val="18"/>
                <w:szCs w:val="18"/>
              </w:rPr>
            </w:pPr>
            <w:r>
              <w:rPr>
                <w:b/>
                <w:sz w:val="18"/>
                <w:szCs w:val="18"/>
              </w:rPr>
              <w:t>15</w:t>
            </w:r>
          </w:p>
        </w:tc>
        <w:tc>
          <w:tcPr>
            <w:tcW w:w="9270" w:type="dxa"/>
            <w:gridSpan w:val="5"/>
            <w:shd w:val="clear" w:color="auto" w:fill="D9D9D9" w:themeFill="background1" w:themeFillShade="D9"/>
            <w:tcMar>
              <w:left w:w="0" w:type="dxa"/>
              <w:right w:w="0" w:type="dxa"/>
            </w:tcMar>
            <w:vAlign w:val="center"/>
          </w:tcPr>
          <w:p w14:paraId="60AE482E" w14:textId="77777777" w:rsidR="009D7C55" w:rsidRPr="00BD15EB" w:rsidRDefault="009D7C55" w:rsidP="009D7C55">
            <w:pPr>
              <w:rPr>
                <w:sz w:val="18"/>
                <w:szCs w:val="18"/>
              </w:rPr>
            </w:pPr>
          </w:p>
        </w:tc>
      </w:tr>
    </w:tbl>
    <w:p w14:paraId="4982CC0E" w14:textId="69D95921" w:rsidR="00222898" w:rsidRDefault="00222898" w:rsidP="006360E5">
      <w:pPr>
        <w:spacing w:after="160"/>
        <w:rPr>
          <w:i/>
          <w:sz w:val="18"/>
          <w:szCs w:val="18"/>
        </w:rPr>
      </w:pPr>
      <w:r>
        <w:rPr>
          <w:i/>
          <w:sz w:val="18"/>
          <w:szCs w:val="18"/>
        </w:rPr>
        <w:t xml:space="preserve">This graduate certificate will be available to non-degree-seeking students beginning in spring 2022. </w:t>
      </w:r>
    </w:p>
    <w:p w14:paraId="1BE8263D" w14:textId="2363DF86" w:rsidR="006360E5" w:rsidRPr="006360E5" w:rsidRDefault="00AC3287" w:rsidP="006360E5">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r w:rsidR="006360E5">
        <w:rPr>
          <w:i/>
          <w:sz w:val="18"/>
          <w:szCs w:val="18"/>
        </w:rPr>
        <w:br/>
      </w:r>
    </w:p>
    <w:p w14:paraId="57C8BDF8" w14:textId="606CF006" w:rsidR="006360E5" w:rsidRPr="006360E5" w:rsidRDefault="006360E5" w:rsidP="006360E5">
      <w:pPr>
        <w:spacing w:after="100"/>
        <w:jc w:val="center"/>
        <w:rPr>
          <w:rFonts w:cs="Calibri"/>
          <w:b/>
          <w:sz w:val="18"/>
          <w:szCs w:val="21"/>
        </w:rPr>
      </w:pPr>
      <w:r w:rsidRPr="006E51D0">
        <w:rPr>
          <w:rFonts w:cs="Calibri"/>
          <w:b/>
          <w:sz w:val="18"/>
          <w:szCs w:val="21"/>
        </w:rPr>
        <w:t>Planning Notes:</w:t>
      </w:r>
    </w:p>
    <w:p w14:paraId="10BE1E13" w14:textId="58840CAD" w:rsidR="00EC05E2" w:rsidRPr="007D7D52" w:rsidRDefault="007D7D52" w:rsidP="00FB5320">
      <w:pPr>
        <w:spacing w:after="160"/>
        <w:rPr>
          <w:b/>
          <w:sz w:val="18"/>
          <w:szCs w:val="18"/>
        </w:rPr>
      </w:pPr>
      <w:r>
        <w:rPr>
          <w:b/>
          <w:sz w:val="18"/>
          <w:szCs w:val="18"/>
        </w:rPr>
        <w:t>Planning Note 1</w:t>
      </w:r>
      <w:r w:rsidR="00EC05E2">
        <w:rPr>
          <w:b/>
          <w:sz w:val="18"/>
          <w:szCs w:val="18"/>
        </w:rPr>
        <w:t xml:space="preserve"> </w:t>
      </w:r>
      <w:r w:rsidR="00AF69BE">
        <w:rPr>
          <w:b/>
          <w:sz w:val="18"/>
          <w:szCs w:val="18"/>
        </w:rPr>
        <w:t xml:space="preserve">(Independent Study): </w:t>
      </w:r>
      <w:r w:rsidR="00AF69BE" w:rsidRPr="00AF69BE">
        <w:rPr>
          <w:sz w:val="18"/>
          <w:szCs w:val="18"/>
        </w:rPr>
        <w:t xml:space="preserve">Students enrolling in an independent study course are required to complete the </w:t>
      </w:r>
      <w:hyperlink r:id="rId10" w:history="1">
        <w:r w:rsidR="00AF69BE" w:rsidRPr="00AF69BE">
          <w:rPr>
            <w:rStyle w:val="Hyperlink"/>
            <w:sz w:val="18"/>
            <w:szCs w:val="18"/>
          </w:rPr>
          <w:t>Independent Study Plan</w:t>
        </w:r>
      </w:hyperlink>
      <w:r w:rsidR="00AF69BE" w:rsidRPr="00AF69BE">
        <w:rPr>
          <w:sz w:val="18"/>
          <w:szCs w:val="18"/>
        </w:rPr>
        <w:t xml:space="preserve"> form</w:t>
      </w:r>
      <w:r w:rsidR="00FB5320">
        <w:rPr>
          <w:sz w:val="18"/>
          <w:szCs w:val="18"/>
        </w:rPr>
        <w:t xml:space="preserve"> and obtain approval from Drs. Walton or Breckenridge. The independent study may be either a population health law research project or an internship </w:t>
      </w:r>
      <w:r w:rsidR="00EC05E2" w:rsidRPr="00EC05E2">
        <w:rPr>
          <w:sz w:val="18"/>
          <w:szCs w:val="18"/>
        </w:rPr>
        <w:t xml:space="preserve">with an agency, non-profit, or other organization, such as Texas Research-to-Policy Collaboration Project at UTHealth </w:t>
      </w:r>
      <w:r w:rsidR="00671190">
        <w:rPr>
          <w:sz w:val="18"/>
          <w:szCs w:val="18"/>
        </w:rPr>
        <w:t xml:space="preserve">Houston </w:t>
      </w:r>
      <w:r w:rsidR="00EC05E2" w:rsidRPr="00EC05E2">
        <w:rPr>
          <w:sz w:val="18"/>
          <w:szCs w:val="18"/>
        </w:rPr>
        <w:t>School of Public Health, Austin campus</w:t>
      </w:r>
      <w:r w:rsidR="00FB5320">
        <w:rPr>
          <w:sz w:val="18"/>
          <w:szCs w:val="18"/>
        </w:rPr>
        <w:t>, where certificate students will apply skills learned in the certificate courses to public health policy questions of their choice</w:t>
      </w:r>
      <w:r w:rsidR="00EC05E2" w:rsidRPr="00EC05E2">
        <w:rPr>
          <w:sz w:val="18"/>
          <w:szCs w:val="18"/>
        </w:rPr>
        <w:t xml:space="preserve">. </w:t>
      </w:r>
    </w:p>
    <w:p w14:paraId="50095404" w14:textId="77777777" w:rsidR="007D7D52" w:rsidRPr="006E51D0" w:rsidRDefault="007D7D52" w:rsidP="006E51D0">
      <w:pPr>
        <w:rPr>
          <w:sz w:val="18"/>
          <w:szCs w:val="18"/>
        </w:rPr>
      </w:pPr>
    </w:p>
    <w:p w14:paraId="6AD43F34" w14:textId="3F938500" w:rsidR="00222898" w:rsidRDefault="00AF69BE" w:rsidP="00EF4B72">
      <w:pPr>
        <w:pBdr>
          <w:top w:val="single" w:sz="4" w:space="1" w:color="auto"/>
        </w:pBdr>
        <w:rPr>
          <w:b/>
          <w:sz w:val="18"/>
          <w:szCs w:val="18"/>
        </w:rPr>
      </w:pPr>
      <w:r>
        <w:rPr>
          <w:b/>
          <w:sz w:val="18"/>
          <w:szCs w:val="18"/>
        </w:rPr>
        <w:t>Public Health Law Research and</w:t>
      </w:r>
      <w:r w:rsidR="00222898">
        <w:rPr>
          <w:b/>
          <w:sz w:val="18"/>
          <w:szCs w:val="18"/>
        </w:rPr>
        <w:t xml:space="preserve"> Policy Surveillance </w:t>
      </w:r>
      <w:r w:rsidR="00EF4B72" w:rsidRPr="00EF4B72">
        <w:rPr>
          <w:b/>
          <w:sz w:val="18"/>
          <w:szCs w:val="18"/>
        </w:rPr>
        <w:t>Coordinator</w:t>
      </w:r>
      <w:r w:rsidR="00222898">
        <w:rPr>
          <w:b/>
          <w:sz w:val="18"/>
          <w:szCs w:val="18"/>
        </w:rPr>
        <w:t>s</w:t>
      </w:r>
      <w:r w:rsidR="008E04D7">
        <w:rPr>
          <w:b/>
          <w:sz w:val="18"/>
          <w:szCs w:val="18"/>
        </w:rPr>
        <w:t xml:space="preserve">: </w:t>
      </w:r>
    </w:p>
    <w:p w14:paraId="400860F1" w14:textId="0CFCC695" w:rsidR="00222898" w:rsidRDefault="00222898" w:rsidP="00222898">
      <w:pPr>
        <w:pBdr>
          <w:top w:val="single" w:sz="4" w:space="1" w:color="auto"/>
        </w:pBdr>
        <w:rPr>
          <w:sz w:val="18"/>
          <w:szCs w:val="18"/>
        </w:rPr>
      </w:pPr>
      <w:r>
        <w:rPr>
          <w:sz w:val="18"/>
          <w:szCs w:val="18"/>
        </w:rPr>
        <w:t xml:space="preserve">Gretchen Walton, MPH, JD; Houston Campus and Department of Management, Policy and Community Health; </w:t>
      </w:r>
      <w:hyperlink r:id="rId11" w:history="1">
        <w:r w:rsidRPr="004D7EB5">
          <w:rPr>
            <w:rStyle w:val="Hyperlink"/>
            <w:sz w:val="18"/>
            <w:szCs w:val="18"/>
          </w:rPr>
          <w:t>Gretchen.H.Walton@uth.tmc.edu</w:t>
        </w:r>
      </w:hyperlink>
    </w:p>
    <w:p w14:paraId="1C7BD345" w14:textId="62CD162F" w:rsidR="00222898" w:rsidRDefault="000B3185" w:rsidP="00222898">
      <w:pPr>
        <w:pBdr>
          <w:top w:val="single" w:sz="4" w:space="1" w:color="auto"/>
        </w:pBdr>
        <w:rPr>
          <w:sz w:val="18"/>
          <w:szCs w:val="18"/>
        </w:rPr>
      </w:pPr>
      <w:r>
        <w:rPr>
          <w:sz w:val="18"/>
          <w:szCs w:val="18"/>
        </w:rPr>
        <w:t>Ellen Breckenridge, MPH, JD</w:t>
      </w:r>
      <w:r w:rsidR="00222898">
        <w:rPr>
          <w:sz w:val="18"/>
          <w:szCs w:val="18"/>
        </w:rPr>
        <w:t xml:space="preserve">, PhD; Houston Campus and Department of Management, Policy and Community Health; </w:t>
      </w:r>
      <w:hyperlink r:id="rId12" w:history="1">
        <w:r w:rsidR="00222898" w:rsidRPr="004D7EB5">
          <w:rPr>
            <w:rStyle w:val="Hyperlink"/>
            <w:sz w:val="18"/>
            <w:szCs w:val="18"/>
          </w:rPr>
          <w:t>Ellen.Breckenridge@uth.tmc.edu</w:t>
        </w:r>
      </w:hyperlink>
      <w:r w:rsidR="00222898">
        <w:rPr>
          <w:sz w:val="18"/>
          <w:szCs w:val="18"/>
        </w:rPr>
        <w:t xml:space="preserve"> </w:t>
      </w:r>
    </w:p>
    <w:p w14:paraId="73C012A1" w14:textId="68EBB369" w:rsidR="002F122E" w:rsidRDefault="002F122E" w:rsidP="006E51D0">
      <w:pPr>
        <w:tabs>
          <w:tab w:val="left" w:pos="2880"/>
        </w:tabs>
        <w:rPr>
          <w:sz w:val="18"/>
          <w:szCs w:val="18"/>
        </w:rPr>
      </w:pPr>
    </w:p>
    <w:p w14:paraId="343B3860" w14:textId="7D1E5767" w:rsidR="00C34E5D" w:rsidRPr="00C34E5D" w:rsidRDefault="00C34E5D" w:rsidP="00C34E5D">
      <w:pPr>
        <w:rPr>
          <w:sz w:val="18"/>
          <w:szCs w:val="18"/>
        </w:rPr>
      </w:pPr>
    </w:p>
    <w:p w14:paraId="7ED2446C" w14:textId="77777777" w:rsidR="00C34E5D" w:rsidRPr="00C34E5D" w:rsidRDefault="00C34E5D" w:rsidP="00C34E5D">
      <w:pPr>
        <w:rPr>
          <w:sz w:val="18"/>
          <w:szCs w:val="18"/>
        </w:rPr>
      </w:pPr>
    </w:p>
    <w:p w14:paraId="7302623D" w14:textId="3B6F4629" w:rsidR="00C34E5D" w:rsidRDefault="00C34E5D" w:rsidP="00C34E5D">
      <w:pPr>
        <w:rPr>
          <w:sz w:val="18"/>
          <w:szCs w:val="18"/>
        </w:rPr>
      </w:pPr>
    </w:p>
    <w:p w14:paraId="36E359ED" w14:textId="632ED76D" w:rsidR="006C4A4F" w:rsidRPr="00C34E5D" w:rsidRDefault="00C34E5D" w:rsidP="00C34E5D">
      <w:pPr>
        <w:tabs>
          <w:tab w:val="left" w:pos="7800"/>
        </w:tabs>
        <w:rPr>
          <w:sz w:val="18"/>
          <w:szCs w:val="18"/>
        </w:rPr>
      </w:pPr>
      <w:r>
        <w:rPr>
          <w:sz w:val="18"/>
          <w:szCs w:val="18"/>
        </w:rPr>
        <w:tab/>
      </w:r>
    </w:p>
    <w:sectPr w:rsidR="006C4A4F" w:rsidRPr="00C34E5D" w:rsidSect="00EF4B7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5D00" w14:textId="77777777" w:rsidR="009250D3" w:rsidRDefault="009250D3">
      <w:r>
        <w:separator/>
      </w:r>
    </w:p>
  </w:endnote>
  <w:endnote w:type="continuationSeparator" w:id="0">
    <w:p w14:paraId="0ED1262A" w14:textId="77777777" w:rsidR="009250D3" w:rsidRDefault="0092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EE79" w14:textId="77777777" w:rsidR="00CC54EE" w:rsidRDefault="00CC5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33B9CAC3" w:rsidR="00621EA2" w:rsidRPr="0065635F" w:rsidRDefault="00902876">
            <w:pPr>
              <w:pStyle w:val="Footer"/>
              <w:jc w:val="right"/>
              <w:rPr>
                <w:sz w:val="20"/>
                <w:szCs w:val="20"/>
              </w:rPr>
            </w:pPr>
            <w:r w:rsidRPr="0065635F">
              <w:rPr>
                <w:sz w:val="20"/>
                <w:szCs w:val="20"/>
              </w:rPr>
              <w:fldChar w:fldCharType="begin"/>
            </w:r>
            <w:r w:rsidRPr="0065635F">
              <w:rPr>
                <w:sz w:val="20"/>
                <w:szCs w:val="20"/>
              </w:rPr>
              <w:instrText xml:space="preserve"> DATE \@ "M/d/yy" </w:instrText>
            </w:r>
            <w:r w:rsidRPr="0065635F">
              <w:rPr>
                <w:sz w:val="20"/>
                <w:szCs w:val="20"/>
              </w:rPr>
              <w:fldChar w:fldCharType="separate"/>
            </w:r>
            <w:r w:rsidR="00671190">
              <w:rPr>
                <w:noProof/>
                <w:sz w:val="20"/>
                <w:szCs w:val="20"/>
              </w:rPr>
              <w:t>5/8/25</w:t>
            </w:r>
            <w:r w:rsidRPr="0065635F">
              <w:rPr>
                <w:sz w:val="20"/>
                <w:szCs w:val="20"/>
              </w:rPr>
              <w:fldChar w:fldCharType="end"/>
            </w:r>
            <w:r w:rsidRPr="0065635F">
              <w:rPr>
                <w:sz w:val="20"/>
                <w:szCs w:val="20"/>
              </w:rPr>
              <w:t xml:space="preserve"> | </w:t>
            </w:r>
            <w:r w:rsidR="00621EA2" w:rsidRPr="0065635F">
              <w:rPr>
                <w:sz w:val="20"/>
                <w:szCs w:val="20"/>
              </w:rPr>
              <w:t xml:space="preserve">Page </w:t>
            </w:r>
            <w:r w:rsidR="00621EA2" w:rsidRPr="0065635F">
              <w:rPr>
                <w:b/>
                <w:bCs/>
                <w:sz w:val="20"/>
                <w:szCs w:val="20"/>
              </w:rPr>
              <w:fldChar w:fldCharType="begin"/>
            </w:r>
            <w:r w:rsidR="00621EA2" w:rsidRPr="0065635F">
              <w:rPr>
                <w:b/>
                <w:bCs/>
                <w:sz w:val="20"/>
                <w:szCs w:val="20"/>
              </w:rPr>
              <w:instrText xml:space="preserve"> PAGE </w:instrText>
            </w:r>
            <w:r w:rsidR="00621EA2" w:rsidRPr="0065635F">
              <w:rPr>
                <w:b/>
                <w:bCs/>
                <w:sz w:val="20"/>
                <w:szCs w:val="20"/>
              </w:rPr>
              <w:fldChar w:fldCharType="separate"/>
            </w:r>
            <w:r w:rsidR="00CC54EE">
              <w:rPr>
                <w:b/>
                <w:bCs/>
                <w:noProof/>
                <w:sz w:val="20"/>
                <w:szCs w:val="20"/>
              </w:rPr>
              <w:t>1</w:t>
            </w:r>
            <w:r w:rsidR="00621EA2" w:rsidRPr="0065635F">
              <w:rPr>
                <w:b/>
                <w:bCs/>
                <w:sz w:val="20"/>
                <w:szCs w:val="20"/>
              </w:rPr>
              <w:fldChar w:fldCharType="end"/>
            </w:r>
            <w:r w:rsidR="00621EA2" w:rsidRPr="0065635F">
              <w:rPr>
                <w:sz w:val="20"/>
                <w:szCs w:val="20"/>
              </w:rPr>
              <w:t xml:space="preserve"> of </w:t>
            </w:r>
            <w:r w:rsidR="00621EA2" w:rsidRPr="0065635F">
              <w:rPr>
                <w:b/>
                <w:bCs/>
                <w:sz w:val="20"/>
                <w:szCs w:val="20"/>
              </w:rPr>
              <w:fldChar w:fldCharType="begin"/>
            </w:r>
            <w:r w:rsidR="00621EA2" w:rsidRPr="0065635F">
              <w:rPr>
                <w:b/>
                <w:bCs/>
                <w:sz w:val="20"/>
                <w:szCs w:val="20"/>
              </w:rPr>
              <w:instrText xml:space="preserve"> NUMPAGES  </w:instrText>
            </w:r>
            <w:r w:rsidR="00621EA2" w:rsidRPr="0065635F">
              <w:rPr>
                <w:b/>
                <w:bCs/>
                <w:sz w:val="20"/>
                <w:szCs w:val="20"/>
              </w:rPr>
              <w:fldChar w:fldCharType="separate"/>
            </w:r>
            <w:r w:rsidR="00CC54EE">
              <w:rPr>
                <w:b/>
                <w:bCs/>
                <w:noProof/>
                <w:sz w:val="20"/>
                <w:szCs w:val="20"/>
              </w:rPr>
              <w:t>1</w:t>
            </w:r>
            <w:r w:rsidR="00621EA2" w:rsidRPr="0065635F">
              <w:rPr>
                <w:b/>
                <w:bCs/>
                <w:sz w:val="20"/>
                <w:szCs w:val="20"/>
              </w:rPr>
              <w:fldChar w:fldCharType="end"/>
            </w:r>
          </w:p>
        </w:sdtContent>
      </w:sdt>
    </w:sdtContent>
  </w:sdt>
  <w:p w14:paraId="6A5F1ACD" w14:textId="77777777" w:rsidR="002D5B69" w:rsidRPr="002C1DBE" w:rsidRDefault="00671190" w:rsidP="00330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3F6B" w14:textId="77777777" w:rsidR="00CC54EE" w:rsidRDefault="00CC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E685" w14:textId="77777777" w:rsidR="009250D3" w:rsidRDefault="009250D3">
      <w:r>
        <w:separator/>
      </w:r>
    </w:p>
  </w:footnote>
  <w:footnote w:type="continuationSeparator" w:id="0">
    <w:p w14:paraId="6336107A" w14:textId="77777777" w:rsidR="009250D3" w:rsidRDefault="0092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1923" w14:textId="77777777" w:rsidR="00CC54EE" w:rsidRDefault="00CC5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4BBE32E1"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CC54EE">
      <w:rPr>
        <w:noProof/>
      </w:rPr>
      <w:drawing>
        <wp:inline distT="0" distB="0" distL="0" distR="0" wp14:anchorId="7D375D9E" wp14:editId="1E3AAAFB">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271A" w14:textId="77777777" w:rsidR="00CC54EE" w:rsidRDefault="00CC5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95536"/>
    <w:multiLevelType w:val="hybridMultilevel"/>
    <w:tmpl w:val="4A26F20C"/>
    <w:lvl w:ilvl="0" w:tplc="4094C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2342"/>
    <w:rsid w:val="00016E3F"/>
    <w:rsid w:val="000177F3"/>
    <w:rsid w:val="000239F8"/>
    <w:rsid w:val="00025668"/>
    <w:rsid w:val="00027BEF"/>
    <w:rsid w:val="000712A7"/>
    <w:rsid w:val="00072DB1"/>
    <w:rsid w:val="00074EE0"/>
    <w:rsid w:val="000752F4"/>
    <w:rsid w:val="0007663B"/>
    <w:rsid w:val="00083C94"/>
    <w:rsid w:val="0009072A"/>
    <w:rsid w:val="00090B41"/>
    <w:rsid w:val="000A1228"/>
    <w:rsid w:val="000A139D"/>
    <w:rsid w:val="000B13B0"/>
    <w:rsid w:val="000B3185"/>
    <w:rsid w:val="000B31CE"/>
    <w:rsid w:val="000C44DA"/>
    <w:rsid w:val="000D159C"/>
    <w:rsid w:val="000D558C"/>
    <w:rsid w:val="000F3D7A"/>
    <w:rsid w:val="000F4EC8"/>
    <w:rsid w:val="000F64C4"/>
    <w:rsid w:val="000F6871"/>
    <w:rsid w:val="001030C1"/>
    <w:rsid w:val="00120AC7"/>
    <w:rsid w:val="00122E26"/>
    <w:rsid w:val="001253F3"/>
    <w:rsid w:val="001263A9"/>
    <w:rsid w:val="00132B5F"/>
    <w:rsid w:val="00150079"/>
    <w:rsid w:val="00170734"/>
    <w:rsid w:val="00175ACF"/>
    <w:rsid w:val="00191524"/>
    <w:rsid w:val="00195A43"/>
    <w:rsid w:val="001972A3"/>
    <w:rsid w:val="001C09EF"/>
    <w:rsid w:val="001C5225"/>
    <w:rsid w:val="001C5B74"/>
    <w:rsid w:val="001D3FF9"/>
    <w:rsid w:val="001D54DF"/>
    <w:rsid w:val="001E503E"/>
    <w:rsid w:val="001E53B4"/>
    <w:rsid w:val="001F3333"/>
    <w:rsid w:val="001F4804"/>
    <w:rsid w:val="00200DF3"/>
    <w:rsid w:val="00222898"/>
    <w:rsid w:val="00231F26"/>
    <w:rsid w:val="00233524"/>
    <w:rsid w:val="00236CCB"/>
    <w:rsid w:val="0024412C"/>
    <w:rsid w:val="0025072D"/>
    <w:rsid w:val="00254BA8"/>
    <w:rsid w:val="00263FD9"/>
    <w:rsid w:val="00272BA7"/>
    <w:rsid w:val="0028205F"/>
    <w:rsid w:val="00296060"/>
    <w:rsid w:val="002A3028"/>
    <w:rsid w:val="002C3A64"/>
    <w:rsid w:val="002C77A2"/>
    <w:rsid w:val="002E53D5"/>
    <w:rsid w:val="002E5F90"/>
    <w:rsid w:val="002F122E"/>
    <w:rsid w:val="002F4E18"/>
    <w:rsid w:val="00302A3B"/>
    <w:rsid w:val="00305578"/>
    <w:rsid w:val="003062E7"/>
    <w:rsid w:val="0031176E"/>
    <w:rsid w:val="00313016"/>
    <w:rsid w:val="00313835"/>
    <w:rsid w:val="003251D1"/>
    <w:rsid w:val="00330102"/>
    <w:rsid w:val="00346537"/>
    <w:rsid w:val="00364CBD"/>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E033A"/>
    <w:rsid w:val="003E06C7"/>
    <w:rsid w:val="003F51BA"/>
    <w:rsid w:val="003F7BF7"/>
    <w:rsid w:val="00400C3C"/>
    <w:rsid w:val="004042DF"/>
    <w:rsid w:val="00404606"/>
    <w:rsid w:val="00415113"/>
    <w:rsid w:val="00430165"/>
    <w:rsid w:val="0043223C"/>
    <w:rsid w:val="004446A5"/>
    <w:rsid w:val="00462F88"/>
    <w:rsid w:val="00476452"/>
    <w:rsid w:val="004779DB"/>
    <w:rsid w:val="004B55D6"/>
    <w:rsid w:val="004B6F58"/>
    <w:rsid w:val="004C54A0"/>
    <w:rsid w:val="004D109F"/>
    <w:rsid w:val="004D4C11"/>
    <w:rsid w:val="004D6D3A"/>
    <w:rsid w:val="004E1EEE"/>
    <w:rsid w:val="004F2984"/>
    <w:rsid w:val="005061D0"/>
    <w:rsid w:val="00510E3F"/>
    <w:rsid w:val="00517252"/>
    <w:rsid w:val="00531B69"/>
    <w:rsid w:val="00534050"/>
    <w:rsid w:val="00553A2A"/>
    <w:rsid w:val="005556F7"/>
    <w:rsid w:val="005843C6"/>
    <w:rsid w:val="00586C4B"/>
    <w:rsid w:val="00592DDD"/>
    <w:rsid w:val="00597DAD"/>
    <w:rsid w:val="005B1BF7"/>
    <w:rsid w:val="005E3549"/>
    <w:rsid w:val="005F04A9"/>
    <w:rsid w:val="005F2F3E"/>
    <w:rsid w:val="0060220D"/>
    <w:rsid w:val="00611CFD"/>
    <w:rsid w:val="00621EA2"/>
    <w:rsid w:val="00624895"/>
    <w:rsid w:val="006360E5"/>
    <w:rsid w:val="00650364"/>
    <w:rsid w:val="0065635F"/>
    <w:rsid w:val="00671190"/>
    <w:rsid w:val="006903C7"/>
    <w:rsid w:val="00695465"/>
    <w:rsid w:val="006969D4"/>
    <w:rsid w:val="006A27C7"/>
    <w:rsid w:val="006B60AC"/>
    <w:rsid w:val="006C4A4F"/>
    <w:rsid w:val="006C4FB0"/>
    <w:rsid w:val="006D071D"/>
    <w:rsid w:val="006E51D0"/>
    <w:rsid w:val="006E7E3B"/>
    <w:rsid w:val="007006BA"/>
    <w:rsid w:val="00717D83"/>
    <w:rsid w:val="00731AF9"/>
    <w:rsid w:val="00734A6B"/>
    <w:rsid w:val="00736E31"/>
    <w:rsid w:val="00744957"/>
    <w:rsid w:val="00746E6E"/>
    <w:rsid w:val="00753D9E"/>
    <w:rsid w:val="007558DC"/>
    <w:rsid w:val="0076071E"/>
    <w:rsid w:val="00762E74"/>
    <w:rsid w:val="007801F7"/>
    <w:rsid w:val="00781770"/>
    <w:rsid w:val="007839A8"/>
    <w:rsid w:val="00785225"/>
    <w:rsid w:val="007937F2"/>
    <w:rsid w:val="00793A0F"/>
    <w:rsid w:val="00793B80"/>
    <w:rsid w:val="00794EC3"/>
    <w:rsid w:val="007A4AE0"/>
    <w:rsid w:val="007C7ECB"/>
    <w:rsid w:val="007D4504"/>
    <w:rsid w:val="007D502B"/>
    <w:rsid w:val="007D7D52"/>
    <w:rsid w:val="007F5624"/>
    <w:rsid w:val="00804C1E"/>
    <w:rsid w:val="00813CB6"/>
    <w:rsid w:val="00826FCC"/>
    <w:rsid w:val="008352FF"/>
    <w:rsid w:val="00841D1D"/>
    <w:rsid w:val="008508D9"/>
    <w:rsid w:val="008558B1"/>
    <w:rsid w:val="00861474"/>
    <w:rsid w:val="0087124C"/>
    <w:rsid w:val="00871E43"/>
    <w:rsid w:val="00877286"/>
    <w:rsid w:val="008777C5"/>
    <w:rsid w:val="00893971"/>
    <w:rsid w:val="008A1F57"/>
    <w:rsid w:val="008A5ED4"/>
    <w:rsid w:val="008B259D"/>
    <w:rsid w:val="008B5316"/>
    <w:rsid w:val="008C1FA0"/>
    <w:rsid w:val="008C35D3"/>
    <w:rsid w:val="008C5E3D"/>
    <w:rsid w:val="008D4CED"/>
    <w:rsid w:val="008D737F"/>
    <w:rsid w:val="008E03EE"/>
    <w:rsid w:val="008E04D7"/>
    <w:rsid w:val="008E3B38"/>
    <w:rsid w:val="008E489F"/>
    <w:rsid w:val="008F1A72"/>
    <w:rsid w:val="00900797"/>
    <w:rsid w:val="00902876"/>
    <w:rsid w:val="00906C97"/>
    <w:rsid w:val="00911F3D"/>
    <w:rsid w:val="0091741E"/>
    <w:rsid w:val="00917C05"/>
    <w:rsid w:val="00922512"/>
    <w:rsid w:val="009250D3"/>
    <w:rsid w:val="009257DD"/>
    <w:rsid w:val="00926481"/>
    <w:rsid w:val="00930B0D"/>
    <w:rsid w:val="0095072C"/>
    <w:rsid w:val="009574AE"/>
    <w:rsid w:val="00957A50"/>
    <w:rsid w:val="00986C6A"/>
    <w:rsid w:val="00992372"/>
    <w:rsid w:val="00996E47"/>
    <w:rsid w:val="009A521F"/>
    <w:rsid w:val="009A6236"/>
    <w:rsid w:val="009C1746"/>
    <w:rsid w:val="009D531A"/>
    <w:rsid w:val="009D7C55"/>
    <w:rsid w:val="009F05BE"/>
    <w:rsid w:val="009F672E"/>
    <w:rsid w:val="00A0154F"/>
    <w:rsid w:val="00A11180"/>
    <w:rsid w:val="00A127BA"/>
    <w:rsid w:val="00A16017"/>
    <w:rsid w:val="00A25494"/>
    <w:rsid w:val="00A35B94"/>
    <w:rsid w:val="00A51E86"/>
    <w:rsid w:val="00A5278C"/>
    <w:rsid w:val="00A562AA"/>
    <w:rsid w:val="00A64232"/>
    <w:rsid w:val="00A70868"/>
    <w:rsid w:val="00A76F40"/>
    <w:rsid w:val="00A83D8F"/>
    <w:rsid w:val="00AA1652"/>
    <w:rsid w:val="00AA4F72"/>
    <w:rsid w:val="00AB125E"/>
    <w:rsid w:val="00AB44F1"/>
    <w:rsid w:val="00AB47E9"/>
    <w:rsid w:val="00AC3287"/>
    <w:rsid w:val="00AD1055"/>
    <w:rsid w:val="00AD5D91"/>
    <w:rsid w:val="00AF3985"/>
    <w:rsid w:val="00AF69BE"/>
    <w:rsid w:val="00B136B5"/>
    <w:rsid w:val="00B224DF"/>
    <w:rsid w:val="00B24EAF"/>
    <w:rsid w:val="00B32917"/>
    <w:rsid w:val="00B3296B"/>
    <w:rsid w:val="00B41B79"/>
    <w:rsid w:val="00B54811"/>
    <w:rsid w:val="00B56AC6"/>
    <w:rsid w:val="00B610A6"/>
    <w:rsid w:val="00B61E13"/>
    <w:rsid w:val="00B76A7E"/>
    <w:rsid w:val="00BA1DA9"/>
    <w:rsid w:val="00BA7022"/>
    <w:rsid w:val="00BB4508"/>
    <w:rsid w:val="00BB4B34"/>
    <w:rsid w:val="00BD15EB"/>
    <w:rsid w:val="00BE26E3"/>
    <w:rsid w:val="00BE56A2"/>
    <w:rsid w:val="00BF14CF"/>
    <w:rsid w:val="00C04B00"/>
    <w:rsid w:val="00C24499"/>
    <w:rsid w:val="00C2649E"/>
    <w:rsid w:val="00C26F72"/>
    <w:rsid w:val="00C27679"/>
    <w:rsid w:val="00C345D1"/>
    <w:rsid w:val="00C34E5D"/>
    <w:rsid w:val="00C429F7"/>
    <w:rsid w:val="00C43EF0"/>
    <w:rsid w:val="00C515CA"/>
    <w:rsid w:val="00C54FF9"/>
    <w:rsid w:val="00C70FD5"/>
    <w:rsid w:val="00C81F3C"/>
    <w:rsid w:val="00C82103"/>
    <w:rsid w:val="00C96A6C"/>
    <w:rsid w:val="00C96F92"/>
    <w:rsid w:val="00CA31DD"/>
    <w:rsid w:val="00CA4E49"/>
    <w:rsid w:val="00CA502A"/>
    <w:rsid w:val="00CC54EE"/>
    <w:rsid w:val="00CC654E"/>
    <w:rsid w:val="00CC67F1"/>
    <w:rsid w:val="00CD326F"/>
    <w:rsid w:val="00CD4F9C"/>
    <w:rsid w:val="00CE12D2"/>
    <w:rsid w:val="00CE2788"/>
    <w:rsid w:val="00CE424A"/>
    <w:rsid w:val="00CF178A"/>
    <w:rsid w:val="00CF6722"/>
    <w:rsid w:val="00CF78A0"/>
    <w:rsid w:val="00D01348"/>
    <w:rsid w:val="00D15305"/>
    <w:rsid w:val="00D16D9F"/>
    <w:rsid w:val="00D1746A"/>
    <w:rsid w:val="00D31895"/>
    <w:rsid w:val="00D40565"/>
    <w:rsid w:val="00D40AFB"/>
    <w:rsid w:val="00D46B69"/>
    <w:rsid w:val="00D47C09"/>
    <w:rsid w:val="00D628E6"/>
    <w:rsid w:val="00D96A91"/>
    <w:rsid w:val="00DA26B3"/>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6CE0"/>
    <w:rsid w:val="00E7133A"/>
    <w:rsid w:val="00E715C6"/>
    <w:rsid w:val="00E73A42"/>
    <w:rsid w:val="00E749A2"/>
    <w:rsid w:val="00E77667"/>
    <w:rsid w:val="00E80293"/>
    <w:rsid w:val="00E80EAD"/>
    <w:rsid w:val="00E8691B"/>
    <w:rsid w:val="00EA3AB7"/>
    <w:rsid w:val="00EB6B14"/>
    <w:rsid w:val="00EB6E55"/>
    <w:rsid w:val="00EC05E2"/>
    <w:rsid w:val="00ED2AFC"/>
    <w:rsid w:val="00EE4473"/>
    <w:rsid w:val="00EE571D"/>
    <w:rsid w:val="00EF4B72"/>
    <w:rsid w:val="00F02EF0"/>
    <w:rsid w:val="00F25B65"/>
    <w:rsid w:val="00F31B0A"/>
    <w:rsid w:val="00F31C2A"/>
    <w:rsid w:val="00F440E0"/>
    <w:rsid w:val="00F77F83"/>
    <w:rsid w:val="00F84A22"/>
    <w:rsid w:val="00F866D6"/>
    <w:rsid w:val="00FA2689"/>
    <w:rsid w:val="00FB1C54"/>
    <w:rsid w:val="00FB5320"/>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len.Breckenridge@uth.tmc.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chen.H.Walton@uth.tm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sph.uth.edu/student-forms/Student%20Resources/Forms/Course%20Substitutions,%20Departmental%20Course%20Waivers,%20Independent%20Study%20Plan/Form.Independent_Study.20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8D99A-3299-4552-8DD3-21215640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9</cp:revision>
  <cp:lastPrinted>2018-09-25T14:29:00Z</cp:lastPrinted>
  <dcterms:created xsi:type="dcterms:W3CDTF">2021-05-05T19:42:00Z</dcterms:created>
  <dcterms:modified xsi:type="dcterms:W3CDTF">2025-05-08T14:57:00Z</dcterms:modified>
</cp:coreProperties>
</file>